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78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252"/>
        <w:tblGridChange w:id="0">
          <w:tblGrid>
            <w:gridCol w:w="4535"/>
            <w:gridCol w:w="4252"/>
          </w:tblGrid>
        </w:tblGridChange>
      </w:tblGrid>
      <w:tr>
        <w:trPr>
          <w:trHeight w:val="72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AUDITORIA INTERNA: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Software instalado en equipos de la Gobernación de Risaralda </w:t>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FECHA ELABORACIÓN:</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Diciembre 2015 </w:t>
            </w:r>
            <w:r w:rsidDel="00000000" w:rsidR="00000000" w:rsidRPr="00000000">
              <w:rPr>
                <w:rtl w:val="0"/>
              </w:rPr>
            </w:r>
          </w:p>
        </w:tc>
      </w:tr>
      <w:tr>
        <w:trPr>
          <w:trHeight w:val="140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DIRECTIVO RESPONSABLE: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Ruby Lucía Aguirre Torres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AUDITOR:</w:t>
            </w: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Manuel Eduardo Pérez Arias </w:t>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DESTINATARIO</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Carlos Alberto Botero López</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Juan Carlos Ríos Correa </w:t>
            </w:r>
          </w:p>
          <w:p w:rsidR="00000000" w:rsidDel="00000000" w:rsidP="00000000" w:rsidRDefault="00000000" w:rsidRPr="00000000">
            <w:pPr>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8787.0" w:type="dxa"/>
        <w:jc w:val="left"/>
        <w:tblInd w:w="-6.999999999999993" w:type="dxa"/>
        <w:tblLayout w:type="fixed"/>
        <w:tblLook w:val="0400"/>
      </w:tblPr>
      <w:tblGrid>
        <w:gridCol w:w="8787"/>
        <w:tblGridChange w:id="0">
          <w:tblGrid>
            <w:gridCol w:w="8787"/>
          </w:tblGrid>
        </w:tblGridChange>
      </w:tblGrid>
      <w:tr>
        <w:trPr>
          <w:trHeight w:val="280" w:hRule="atLeast"/>
        </w:trPr>
        <w:tc>
          <w:tcPr>
            <w:shd w:fill="59595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ASPECTOS GENERALES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OBJETIVO: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Verificar que el software instalado en los equipos objeto de revisión esté debidamente licenciado, con lo cual se garantiza el cumplimiento del marco normativo establecido a ese respecto. Esta labor coadyuva a la preparación del reporte sobre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verificación, recomendaciones, seguimiento y resultados sobre el cumplimiento de las normas en materia de derecho de autor sobre software</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que debe presentar la entidad a la Dirección Nacional de Derechos de Autor, entre enero y marzo de cada año.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ALCANCE: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Equipos de cómputo en servicio, pertenecientes a la Gobernación de Risaralda, determinados aleatoriamente.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CRITERIOS: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Políticas de operación de seguridad informática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Circular 07 de 2005 – Consejo Asesor del Gobierno Nacional en Materia de C. I.</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Circular 12 de 2007 – Dirección Nacional de Derechos de Autor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METODOLOGIA:</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Identificación de los equipos de cómputo al servicio de la administración departamental.</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Determinar aleatoriamente los equipos a revisar.</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Revisión In Situ del software instalado en los equipos seleccionados.</w:t>
      </w:r>
    </w:p>
    <w:p w:rsidR="00000000" w:rsidDel="00000000" w:rsidP="00000000" w:rsidRDefault="00000000" w:rsidRPr="00000000">
      <w:pPr>
        <w:numPr>
          <w:ilvl w:val="0"/>
          <w:numId w:val="1"/>
        </w:numPr>
        <w:spacing w:after="0" w:before="0" w:line="240" w:lineRule="auto"/>
        <w:ind w:left="284" w:hanging="284"/>
        <w:contextualSpacing w:val="1"/>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Revisión documental.</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Socialización del resultado de la auditoría.</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Remisión del informe preliminar.</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Evaluación de las respuestas al informe, en ejercicio del derecho de réplica.</w:t>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Remisión del informe final de auditoría.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8787.0" w:type="dxa"/>
        <w:jc w:val="left"/>
        <w:tblInd w:w="-6.999999999999993" w:type="dxa"/>
        <w:tblLayout w:type="fixed"/>
        <w:tblLook w:val="0400"/>
      </w:tblPr>
      <w:tblGrid>
        <w:gridCol w:w="8787"/>
        <w:tblGridChange w:id="0">
          <w:tblGrid>
            <w:gridCol w:w="8787"/>
          </w:tblGrid>
        </w:tblGridChange>
      </w:tblGrid>
      <w:tr>
        <w:trPr>
          <w:trHeight w:val="280" w:hRule="atLeast"/>
        </w:trPr>
        <w:tc>
          <w:tcPr>
            <w:shd w:fill="59595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DESARROLLO  DE  LA AUDITORIA</w:t>
            </w:r>
          </w:p>
        </w:tc>
      </w:tr>
    </w:tbl>
    <w:p w:rsidR="00000000" w:rsidDel="00000000" w:rsidP="00000000" w:rsidRDefault="00000000" w:rsidRPr="00000000">
      <w:pPr>
        <w:tabs>
          <w:tab w:val="left" w:pos="2947"/>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la identificación de los equipos al servicio de la administración departamental, se solicitó una relación de los mismos a la Dirección de Informática y Sistemas mediante el Memorando Nº 17876. La información fue enviada en sendos archivos, uno con el Inventario de Equipos y otro con la Relación de Software Licenciado.  Estos archivos hacen parte del presente informe.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Al revisar la relación inicial se encuentran algunas situaciones que deben ser corregidas.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Nombres de equipos que aparecen repetidos:</w:t>
      </w:r>
    </w:p>
    <w:tbl>
      <w:tblPr>
        <w:tblStyle w:val="Table4"/>
        <w:bidi w:val="0"/>
        <w:tblW w:w="8506.0" w:type="dxa"/>
        <w:jc w:val="left"/>
        <w:tblInd w:w="-15.0" w:type="dxa"/>
        <w:tblLayout w:type="fixed"/>
        <w:tblLook w:val="0400"/>
      </w:tblPr>
      <w:tblGrid>
        <w:gridCol w:w="1701"/>
        <w:gridCol w:w="1419"/>
        <w:gridCol w:w="1701"/>
        <w:gridCol w:w="3685"/>
        <w:tblGridChange w:id="0">
          <w:tblGrid>
            <w:gridCol w:w="1701"/>
            <w:gridCol w:w="1419"/>
            <w:gridCol w:w="1701"/>
            <w:gridCol w:w="368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MARCA</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SERIAL</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NOMBRE EQUIPO</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UBICACIÓN</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IBM</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LKFXW2A</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GOBE57867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Infraestructura - Gloria Lucia Álvarez</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MXL2412GQ8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GOBE57867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Infraestructura - Gloria Lucia Álvarez</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LENOVO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MJ44YH8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GOBE6048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Salud - CRUE radio operador</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MXL939181G</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GOBE6048</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Salud – CRUE Yenifer </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LENOVO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MJ92EE8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GOBE68047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dm</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LENOVO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MJ92DZ7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GOBE68047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Pasaporte - Luz Estella Suarez</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Seriales que aparecen repetidos</w:t>
      </w:r>
      <w:r w:rsidDel="00000000" w:rsidR="00000000" w:rsidRPr="00000000">
        <w:rPr>
          <w:rFonts w:ascii="Arial" w:cs="Arial" w:eastAsia="Arial" w:hAnsi="Arial"/>
          <w:sz w:val="24"/>
          <w:szCs w:val="24"/>
          <w:rtl w:val="0"/>
        </w:rPr>
        <w:t xml:space="preserve">:</w:t>
      </w:r>
    </w:p>
    <w:tbl>
      <w:tblPr>
        <w:tblStyle w:val="Table5"/>
        <w:bidi w:val="0"/>
        <w:tblW w:w="8504.0" w:type="dxa"/>
        <w:jc w:val="left"/>
        <w:tblInd w:w="-15.0" w:type="dxa"/>
        <w:tblLayout w:type="fixed"/>
        <w:tblLook w:val="0400"/>
      </w:tblPr>
      <w:tblGrid>
        <w:gridCol w:w="1701"/>
        <w:gridCol w:w="1417"/>
        <w:gridCol w:w="1701"/>
        <w:gridCol w:w="3685"/>
        <w:tblGridChange w:id="0">
          <w:tblGrid>
            <w:gridCol w:w="1701"/>
            <w:gridCol w:w="1417"/>
            <w:gridCol w:w="1701"/>
            <w:gridCol w:w="3685"/>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MARCA</w:t>
            </w:r>
          </w:p>
        </w:tc>
        <w:tc>
          <w:tcPr>
            <w:tcBorders>
              <w:top w:color="000000" w:space="0" w:sz="4" w:val="single"/>
              <w:left w:color="000000" w:space="0" w:sz="4" w:val="single"/>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SERIAL</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NOMBRE EQUIPO</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UBICACIÓN</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IBM</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1234567</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GOBE57871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Gobierno - Leonardo Gómez</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IBM</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1234567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GOBE57914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Diana Carolina Escobar - Archivo</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IBM</w:t>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1234567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GOBE57959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Transporte - María Alcira Robayo</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Equipos a cargo de personas que ya no están en la administración:</w:t>
      </w:r>
    </w:p>
    <w:tbl>
      <w:tblPr>
        <w:tblStyle w:val="Table6"/>
        <w:bidi w:val="0"/>
        <w:tblW w:w="8560.0" w:type="dxa"/>
        <w:jc w:val="left"/>
        <w:tblInd w:w="-15.0" w:type="dxa"/>
        <w:tblLayout w:type="fixed"/>
        <w:tblLook w:val="0400"/>
      </w:tblPr>
      <w:tblGrid>
        <w:gridCol w:w="1701"/>
        <w:gridCol w:w="1474"/>
        <w:gridCol w:w="1587"/>
        <w:gridCol w:w="3798"/>
        <w:tblGridChange w:id="0">
          <w:tblGrid>
            <w:gridCol w:w="1701"/>
            <w:gridCol w:w="1474"/>
            <w:gridCol w:w="1587"/>
            <w:gridCol w:w="3798"/>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MARCA</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SERIAL</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NOMBRE EQUIPO</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UBICACIÓN</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2CE23922NH</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GOBE0</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Desarrollo Económico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Carolina Bustamante</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LENOVO</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MJ92EK0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GOBE2EK0-THINK</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Desarrollo Económico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Carolina Bustamante</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TOSHIBA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XD031510H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GOBE67835</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Despacho Secretaría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Vicente Galvis Herrera</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MXL1380RZH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GOBE4A40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Despacho Secretaría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Yormen Nery Molina H.</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5CB1404F35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GOBE67017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Despacho Secretaría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Juan Manuel Foronda</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MXL045080L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GOBE65197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Salud - Tutela  - </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Isabel Arboleda Franco</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MXL1380RWH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GOBE67079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Secretario Despacho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Vicente Galvis</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MXJ65005W0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GOBE61877</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w:cs="Arial" w:eastAsia="Arial" w:hAnsi="Arial"/>
                <w:rtl w:val="0"/>
              </w:rPr>
              <w:t xml:space="preserve">Hojas de Vida –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Martha Lucía Porras</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Equipos que aparecen sin número de serie:</w:t>
      </w:r>
    </w:p>
    <w:tbl>
      <w:tblPr>
        <w:tblStyle w:val="Table7"/>
        <w:bidi w:val="0"/>
        <w:tblW w:w="8504.0" w:type="dxa"/>
        <w:jc w:val="left"/>
        <w:tblInd w:w="-15.0" w:type="dxa"/>
        <w:tblLayout w:type="fixed"/>
        <w:tblLook w:val="0400"/>
      </w:tblPr>
      <w:tblGrid>
        <w:gridCol w:w="1701"/>
        <w:gridCol w:w="1417"/>
        <w:gridCol w:w="1701"/>
        <w:gridCol w:w="3685"/>
        <w:tblGridChange w:id="0">
          <w:tblGrid>
            <w:gridCol w:w="1701"/>
            <w:gridCol w:w="1417"/>
            <w:gridCol w:w="1701"/>
            <w:gridCol w:w="368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MARCA</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SERIAL</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NOMBRE EQUIPO</w:t>
            </w:r>
          </w:p>
        </w:tc>
        <w:tc>
          <w:tcPr>
            <w:tcBorders>
              <w:top w:color="000000" w:space="0" w:sz="4" w:val="single"/>
              <w:left w:color="000000" w:space="0" w:sz="0" w:val="nil"/>
              <w:bottom w:color="000000" w:space="0" w:sz="4" w:val="single"/>
              <w:right w:color="000000" w:space="0" w:sz="4" w:val="single"/>
            </w:tcBorders>
            <w:shd w:fill="fdeada"/>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UBICACIÓN</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Hewlett-Packard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GOBE57861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Planeación Sectorial - Juan Carlos Ospina</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FOUNDERTECH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GOBE64459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Pasaportes - Sandra Milena</w:t>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FOUNDERTECH</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GOBE64460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Pasaportes - Ildory Del Carmen Grajales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Los equipos que fueron objeto de revisión se relacionan a continuación: </w:t>
      </w:r>
    </w:p>
    <w:p w:rsidR="00000000" w:rsidDel="00000000" w:rsidP="00000000" w:rsidRDefault="00000000" w:rsidRPr="00000000">
      <w:pPr>
        <w:contextualSpacing w:val="0"/>
        <w:jc w:val="both"/>
      </w:pPr>
      <w:r w:rsidDel="00000000" w:rsidR="00000000" w:rsidRPr="00000000">
        <w:rPr>
          <w:rtl w:val="0"/>
        </w:rPr>
      </w:r>
    </w:p>
    <w:tbl>
      <w:tblPr>
        <w:tblStyle w:val="Table8"/>
        <w:bidi w:val="0"/>
        <w:tblW w:w="9330.0" w:type="dxa"/>
        <w:jc w:val="left"/>
        <w:tblInd w:w="-15.0" w:type="dxa"/>
        <w:tblLayout w:type="fixed"/>
        <w:tblLook w:val="0400"/>
      </w:tblPr>
      <w:tblGrid>
        <w:gridCol w:w="1880"/>
        <w:gridCol w:w="2268"/>
        <w:gridCol w:w="1780"/>
        <w:gridCol w:w="3402"/>
        <w:tblGridChange w:id="0">
          <w:tblGrid>
            <w:gridCol w:w="1880"/>
            <w:gridCol w:w="2268"/>
            <w:gridCol w:w="1780"/>
            <w:gridCol w:w="3402"/>
          </w:tblGrid>
        </w:tblGridChange>
      </w:tblGrid>
      <w:tr>
        <w:trPr>
          <w:trHeight w:val="240" w:hRule="atLeast"/>
        </w:trPr>
        <w:tc>
          <w:tcPr>
            <w:tcBorders>
              <w:top w:color="000000" w:space="0" w:sz="4" w:val="single"/>
              <w:left w:color="000000" w:space="0" w:sz="4" w:val="single"/>
              <w:bottom w:color="000000" w:space="0" w:sz="0" w:val="nil"/>
              <w:right w:color="000000" w:space="0" w:sz="4" w:val="single"/>
            </w:tcBorders>
            <w:shd w:fill="7030a0"/>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MARCA</w:t>
            </w:r>
          </w:p>
        </w:tc>
        <w:tc>
          <w:tcPr>
            <w:tcBorders>
              <w:top w:color="000000" w:space="0" w:sz="4" w:val="single"/>
              <w:left w:color="000000" w:space="0" w:sz="0" w:val="nil"/>
              <w:bottom w:color="000000" w:space="0" w:sz="0" w:val="nil"/>
              <w:right w:color="000000" w:space="0" w:sz="4" w:val="single"/>
            </w:tcBorders>
            <w:shd w:fill="7030a0"/>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SERIAL</w:t>
            </w:r>
          </w:p>
        </w:tc>
        <w:tc>
          <w:tcPr>
            <w:tcBorders>
              <w:top w:color="000000" w:space="0" w:sz="4" w:val="single"/>
              <w:left w:color="000000" w:space="0" w:sz="0" w:val="nil"/>
              <w:bottom w:color="000000" w:space="0" w:sz="0" w:val="nil"/>
              <w:right w:color="000000" w:space="0" w:sz="4" w:val="single"/>
            </w:tcBorders>
            <w:shd w:fill="7030a0"/>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NOMBRE DEL PC</w:t>
            </w:r>
          </w:p>
        </w:tc>
        <w:tc>
          <w:tcPr>
            <w:tcBorders>
              <w:top w:color="000000" w:space="0" w:sz="4" w:val="single"/>
              <w:left w:color="000000" w:space="0" w:sz="0" w:val="nil"/>
              <w:bottom w:color="000000" w:space="0" w:sz="0" w:val="nil"/>
              <w:right w:color="000000" w:space="0" w:sz="4" w:val="single"/>
            </w:tcBorders>
            <w:shd w:fill="7030a0"/>
            <w:vAlign w:val="bottom"/>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DETALLES DE LA CUENTA</w:t>
            </w:r>
          </w:p>
        </w:tc>
      </w:tr>
      <w:tr>
        <w:trPr>
          <w:trHeight w:val="32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SOTANO</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MXL4321GMQ</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MXL4321GMQ</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Transporte - Maria Alcira Robayo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MXL2412V12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GOBE67348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Archivo - Flor Maria Librero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MXL1380RYL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GOBE67073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Salud Ocupacional - Ruth Lopez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MXJ74500NS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GOBE64023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Seguridad - Victor Bolaños</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MX044303W8</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GOBE68047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Pasaportes</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PISO 1</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CNU8465JR6</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PORTATIL1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Prestamos</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MXL01902KB</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GOBE65045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Pasaporte - Oscar Betancur</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DELL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18"/>
                <w:szCs w:val="18"/>
                <w:rtl w:val="0"/>
              </w:rPr>
              <w:t xml:space="preserve"> </w:t>
            </w:r>
            <w:r w:rsidDel="00000000" w:rsidR="00000000" w:rsidRPr="00000000">
              <w:rPr>
                <w:rFonts w:ascii="Arial Narrow" w:cs="Arial Narrow" w:eastAsia="Arial Narrow" w:hAnsi="Arial Narrow"/>
                <w:color w:val="000000"/>
                <w:sz w:val="18"/>
                <w:szCs w:val="18"/>
                <w:rtl w:val="0"/>
              </w:rPr>
              <w:t xml:space="preserve">AZRQ02800A3K</w:t>
            </w:r>
            <w:r w:rsidDel="00000000" w:rsidR="00000000" w:rsidRPr="00000000">
              <w:rPr>
                <w:rFonts w:ascii="Arial Narrow" w:cs="Arial Narrow" w:eastAsia="Arial Narrow" w:hAnsi="Arial Narrow"/>
                <w:b w:val="1"/>
                <w:color w:val="ff0000"/>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GOBE50865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Pasaportes - Polo Osman</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MXL2412GQF</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GOBE67365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Pensiones - Maria Eugenia Gonzalez Rios</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MXJ65005RL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GOBE61929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Sistemas Auxiliar</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MXL1380RZJ</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GOBE67142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Tesoreria - Alvaro Henao Pelaez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MXJ74500PG</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GOBE64085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Tesoreria - Angela Gallego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MJ44YC3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GOBE67834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Tesoreria - Luz Stella Castaño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MJ92DX9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GOBE67833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Tesoreria - Yulieth Cadavid</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MJ44YG0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GOBE68008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Contabilidad - Dennis Giraldo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(Aura Ma Betancur)</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PISO 2</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IBM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LKFXZ2Z</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GOBE57845</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SED - Direccion de Cobertura –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Gloria Inés Osorio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MJ92DV6</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GOBEMJ92DV6</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Nomina - John Jairo Gonzalez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MXJ74500RB</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GOBE64020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Planeacion Integral - Luisa Fernanda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MXL1380RZC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GOBE67019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SED - Subdirección de Cobertura –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Liliana Patricia Mejia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MXL2412GLM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GOBE12GLM</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SED - Tecnologia - Giovanny Henao </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IBM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LKRNY4G</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GOBE1D22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Hojas de vida - Giovany Nieto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MJ92DW3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GOBE67871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SED - Financiera - Denis Giraldo</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PISO 3</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MXL0351QQS</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GOBE65068  (</w:t>
            </w:r>
            <w:r w:rsidDel="00000000" w:rsidR="00000000" w:rsidRPr="00000000">
              <w:rPr>
                <w:rFonts w:ascii="Arial Narrow" w:cs="Arial Narrow" w:eastAsia="Arial Narrow" w:hAnsi="Arial Narrow"/>
                <w:b w:val="1"/>
                <w:color w:val="000000"/>
                <w:sz w:val="18"/>
                <w:szCs w:val="18"/>
                <w:rtl w:val="0"/>
              </w:rPr>
              <w:t xml:space="preserve">76508</w:t>
            </w:r>
            <w:r w:rsidDel="00000000" w:rsidR="00000000" w:rsidRPr="00000000">
              <w:rPr>
                <w:rFonts w:ascii="Arial Narrow" w:cs="Arial Narrow" w:eastAsia="Arial Narrow" w:hAnsi="Arial Narrow"/>
                <w:color w:val="00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Asistencia Legal - Gladys del Carmen Rios G.</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Dell Computer Corp.</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..CN6453544K00D0.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GOBE50856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Desarrollo Social - Andres Hernandez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MXD60502G7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GOBE61232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Desarrollo Social - Henry Luengas Londoño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MXJ74500Q7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GOBE64029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Desarrollo Social - Jessica Diaz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(Lina Ma. García)</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PISO 4</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MXJ74500P3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GOBE63997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Control Interno Disciplinario - Alexander Vásquez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MJ44YD5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GOBE67877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Dirección de Control Interno - James Sepúlveda Oviedo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MJ44YP7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GOBE67836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Financiera - Carlos Augusto Rendón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 (J C del Prado)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MXL2412T5Q</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GOBE01074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Financiera - Magnolia Trejos</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MXL0351QLX</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GOBE65103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Fiscalizacion - Pedro Nel Molina Agudelo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(Luis Fdo Orrego)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MXL0351QQX</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GOBE65159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Recursos Fisicos - Jacqueline Perez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MXL036031W</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GOBE65070</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Infraestructura - Diana Sanchez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IBM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LKFXT3P</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GOBE57954</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Infraestructura - Lina Maria Zuluaga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MXL5232962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MXL5232962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Planeacion - Liliana Mejía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MXL1380RYW</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GOBES</w:t>
            </w:r>
            <w:r w:rsidDel="00000000" w:rsidR="00000000" w:rsidRPr="00000000">
              <w:rPr>
                <w:rFonts w:ascii="Arial Narrow" w:cs="Arial Narrow" w:eastAsia="Arial Narrow" w:hAnsi="Arial Narrow"/>
                <w:b w:val="1"/>
                <w:color w:val="000000"/>
                <w:sz w:val="18"/>
                <w:szCs w:val="18"/>
                <w:rtl w:val="0"/>
              </w:rPr>
              <w:t xml:space="preserve">67075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Recursos Fisicos - Nicolay Vallejo</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PISO 5</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MXL0351QP9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GOBE65071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Agropecuario - Jairo Gomez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MJ92DY0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GOBE67862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Abogada de Tutelas Astrid Estrada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MXL4321GN5</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GOBEN6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Aseguramientos (Contratistas)</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MJ44YG3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GOBE67861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Gustavo Ramirez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MJ92EC7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GOBE65089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Martha Cecilia Ramirez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MXL1380RYS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GOBE67006</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Prestacion de Servicios </w:t>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Alba Rocio Gonzalez</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MXL045080L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GOBE65197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Salud - Tutela Isabel Arboleda Franco</w:t>
            </w:r>
          </w:p>
        </w:tc>
      </w:tr>
      <w:tr>
        <w:trPr>
          <w:trHeight w:val="320" w:hRule="atLeast"/>
        </w:trPr>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ff0000"/>
                <w:sz w:val="22"/>
                <w:szCs w:val="22"/>
                <w:rtl w:val="0"/>
              </w:rPr>
              <w:t xml:space="preserve">EXTERNOS</w:t>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MJ92EB8</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GOBE2EB8-THINK</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Desarrollo Económico - Alba Esperanza Toro</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MXL036034G</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GOBE65083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6"/>
                <w:szCs w:val="16"/>
                <w:rtl w:val="0"/>
              </w:rPr>
              <w:t xml:space="preserve">Desarrollo Económico - Martha Lucía Pachón </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MJ92DY7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rtl w:val="0"/>
              </w:rPr>
              <w:t xml:space="preserve">GOBE2DY7</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6"/>
                <w:szCs w:val="16"/>
                <w:rtl w:val="0"/>
              </w:rPr>
              <w:t xml:space="preserve">Desarrollo Económico - Lina Marcela Quiceno</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MXL0351QMC</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GOBE65082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Desarrollo Económico - Alcibiades Útima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IBM</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LKFXZ0N</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GOBE57891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Deportes - Jorge Ivan Valencia</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MXL2412V11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GOBE67367</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Deportes - Secretaria Deportes</w:t>
            </w:r>
          </w:p>
        </w:tc>
      </w:tr>
      <w:tr>
        <w:trPr>
          <w:trHeight w:val="260" w:hRule="atLeast"/>
        </w:trPr>
        <w:tc>
          <w:tcPr>
            <w:tcBorders>
              <w:bottom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b w:val="1"/>
                <w:color w:val="0000ff"/>
                <w:sz w:val="22"/>
                <w:szCs w:val="22"/>
                <w:rtl w:val="0"/>
              </w:rPr>
              <w:t xml:space="preserve">SIN UBICACIÓN</w:t>
            </w:r>
          </w:p>
        </w:tc>
        <w:tc>
          <w:tcPr>
            <w:tcBorders>
              <w:bottom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MXL43230LQ</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GOBE230LQ</w:t>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MXJ65005WP</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GOBE61893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MXJ90103NX</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GOBE6422-416861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MXL4370YZ3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GOBE70YZ3</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MJ92DV9</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GOBE92DV9</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LENOVO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MJ92EG2</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GOBE92EG2</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MXL4300DGT</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MXL4300DGT</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VMware, Inc.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VMware-56 4d 2f a9 7b c1 60 </w:t>
            </w:r>
          </w:p>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bd-ab 19 7b 22 85 54 a1 3b</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PRINCIPAL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0</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Hewlett-Packard</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MXL4321GNB</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contextualSpacing w:val="0"/>
            </w:pPr>
            <w:r w:rsidDel="00000000" w:rsidR="00000000" w:rsidRPr="00000000">
              <w:rPr>
                <w:rFonts w:ascii="Arial Narrow" w:cs="Arial Narrow" w:eastAsia="Arial Narrow" w:hAnsi="Arial Narrow"/>
                <w:color w:val="000000"/>
                <w:sz w:val="18"/>
                <w:szCs w:val="18"/>
                <w:rtl w:val="0"/>
              </w:rPr>
              <w:t xml:space="preserve">MXL4321GNB</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18"/>
                <w:szCs w:val="18"/>
                <w:rtl w:val="0"/>
              </w:rPr>
              <w:t xml:space="preserve">GOBE68254</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Al correspondiente equipo se le revisó el software instalado y se deja evidencia del resultado en un archivo para su posterior verificación.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 información obtenida fue comparada con la relación de software licenciado que tiene la administración para corroborar que todos los programas instalados coincidieran con la referida lista.  En este proceso se contó con la asesoría del Ingeniero Alejandro Usma Vásquez.</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Los denominados pantallazos del software instalado se incluyen en archivo adjunto.</w:t>
      </w:r>
    </w:p>
    <w:p w:rsidR="00000000" w:rsidDel="00000000" w:rsidP="00000000" w:rsidRDefault="00000000" w:rsidRPr="00000000">
      <w:pPr>
        <w:contextualSpacing w:val="0"/>
      </w:pPr>
      <w:r w:rsidDel="00000000" w:rsidR="00000000" w:rsidRPr="00000000">
        <w:rPr>
          <w:rtl w:val="0"/>
        </w:rPr>
      </w:r>
    </w:p>
    <w:tbl>
      <w:tblPr>
        <w:tblStyle w:val="Table9"/>
        <w:bidi w:val="0"/>
        <w:tblW w:w="8787.0" w:type="dxa"/>
        <w:jc w:val="left"/>
        <w:tblInd w:w="-6.999999999999993" w:type="dxa"/>
        <w:tblLayout w:type="fixed"/>
        <w:tblLook w:val="0400"/>
      </w:tblPr>
      <w:tblGrid>
        <w:gridCol w:w="8787"/>
        <w:tblGridChange w:id="0">
          <w:tblGrid>
            <w:gridCol w:w="8787"/>
          </w:tblGrid>
        </w:tblGridChange>
      </w:tblGrid>
      <w:tr>
        <w:trPr>
          <w:trHeight w:val="340" w:hRule="atLeast"/>
        </w:trPr>
        <w:tc>
          <w:tcPr>
            <w:shd w:fill="59595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HALLAZGOS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HALLAZGOS POSITIVOS: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En el proceso de revisión del software instalado en los equipos inspeccionados, los programas o aplicativos encontrados están debidamente licenciados.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OBSERVACIONES: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En los equipos que a continuación se relacionan se encontró que unos tienen programas de uso libre y otros con versión de pago que se pueden instalar con periodo de prueba. Aunque no se está incurriendo en contravención de las normas, no es conveniente que estos programas continúen en los equipos y por tanto se debe proceder a su desinstalación. </w:t>
      </w:r>
    </w: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10"/>
        <w:bidi w:val="0"/>
        <w:tblW w:w="8695.0" w:type="dxa"/>
        <w:jc w:val="left"/>
        <w:tblInd w:w="-15.0" w:type="dxa"/>
        <w:tblLayout w:type="fixed"/>
        <w:tblLook w:val="0400"/>
      </w:tblPr>
      <w:tblGrid>
        <w:gridCol w:w="440"/>
        <w:gridCol w:w="3240"/>
        <w:gridCol w:w="1330"/>
        <w:gridCol w:w="3685"/>
        <w:tblGridChange w:id="0">
          <w:tblGrid>
            <w:gridCol w:w="440"/>
            <w:gridCol w:w="3240"/>
            <w:gridCol w:w="1330"/>
            <w:gridCol w:w="3685"/>
          </w:tblGrid>
        </w:tblGridChange>
      </w:tblGrid>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Descripción</w:t>
            </w:r>
          </w:p>
        </w:tc>
        <w:tc>
          <w:tcPr>
            <w:tcBorders>
              <w:top w:color="000000" w:space="0" w:sz="4" w:val="single"/>
              <w:left w:color="000000" w:space="0" w:sz="0" w:val="nil"/>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Equipo</w:t>
            </w:r>
          </w:p>
        </w:tc>
        <w:tc>
          <w:tcPr>
            <w:tcBorders>
              <w:top w:color="000000" w:space="0" w:sz="4" w:val="single"/>
              <w:left w:color="000000" w:space="0" w:sz="0" w:val="nil"/>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Ubicación</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McAfee Security Scan Plus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 64023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Despacho Gobernador - Seguridad</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MrvlUsgTracking</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 64029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Desarrollo Social</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GoToMeeting 7.7.0.4062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 65082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Desarrollo Económico</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a Tube Catcher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 67070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Administrativa</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McAfee Security Scan Plus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Gobe 67073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Administrativa</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Nitro Pro 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MJ44YP7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Hacienda</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Nitro Pro 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MJ92DY7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Desarrollo Económico</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Nitro Pro 8</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MJ92EB8</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Desarrollo Económico</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Soda PDF 5</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WinRAR 5.21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MXL5232962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Planeación</w:t>
            </w:r>
          </w:p>
        </w:tc>
      </w:tr>
      <w:tr>
        <w:trPr>
          <w:trHeight w:val="340" w:hRule="atLeast"/>
        </w:trPr>
        <w:tc>
          <w:tcPr>
            <w:tcBorders>
              <w:top w:color="000000" w:space="0" w:sz="0" w:val="nil"/>
              <w:left w:color="000000" w:space="0" w:sz="4" w:val="single"/>
              <w:bottom w:color="000000" w:space="0" w:sz="4" w:val="single"/>
              <w:right w:color="000000" w:space="0" w:sz="4" w:val="single"/>
            </w:tcBorders>
            <w:shd w:fill="ddd9c3"/>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Nitro Pro 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MJ92DV6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both"/>
            </w:pPr>
            <w:r w:rsidDel="00000000" w:rsidR="00000000" w:rsidRPr="00000000">
              <w:rPr>
                <w:rFonts w:ascii="Arial" w:cs="Arial" w:eastAsia="Arial" w:hAnsi="Arial"/>
                <w:color w:val="000000"/>
                <w:rtl w:val="0"/>
              </w:rPr>
              <w:t xml:space="preserve">Secretaría de Educación</w:t>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En la relación global suministrada por la DIS se evidencia que algunos equipos continúan asignados a usuarios que ya no están en la entidad y por tanto se requiere actualizarla. Así mismo se encuentran equipos cuyas identificaciones y seriales tienen imprecisiones, por lo que igualmente se requiere una revisión detallada para que haya coincidencia entre la información que a ese respecto tiene el Área de Bienes y la que maneja la Dirección de Informática y Sistemas.</w:t>
      </w:r>
    </w:p>
    <w:p w:rsidR="00000000" w:rsidDel="00000000" w:rsidP="00000000" w:rsidRDefault="00000000" w:rsidRPr="00000000">
      <w:pPr>
        <w:contextualSpacing w:val="0"/>
      </w:pPr>
      <w:r w:rsidDel="00000000" w:rsidR="00000000" w:rsidRPr="00000000">
        <w:rPr>
          <w:rtl w:val="0"/>
        </w:rPr>
      </w:r>
    </w:p>
    <w:tbl>
      <w:tblPr>
        <w:tblStyle w:val="Table11"/>
        <w:bidi w:val="0"/>
        <w:tblW w:w="8787.0" w:type="dxa"/>
        <w:jc w:val="left"/>
        <w:tblInd w:w="-6.999999999999993" w:type="dxa"/>
        <w:tblLayout w:type="fixed"/>
        <w:tblLook w:val="0400"/>
      </w:tblPr>
      <w:tblGrid>
        <w:gridCol w:w="8787"/>
        <w:tblGridChange w:id="0">
          <w:tblGrid>
            <w:gridCol w:w="8787"/>
          </w:tblGrid>
        </w:tblGridChange>
      </w:tblGrid>
      <w:tr>
        <w:trPr>
          <w:trHeight w:val="340" w:hRule="atLeast"/>
        </w:trPr>
        <w:tc>
          <w:tcPr>
            <w:shd w:fill="59595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RECOMENDACIONES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rtl w:val="0"/>
        </w:rPr>
        <w:t xml:space="preserve">Continuar con la socialización de las políticas de operación y seguridad informática en lo referente al uso del software a los funcionarios y contratistas de la administración departamental. </w:t>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rtl w:val="0"/>
        </w:rPr>
        <w:t xml:space="preserve">Adelantar revisiones periódicas para constatar que los programas instalados en los equipos correspondan a los adquiridos y autorizados por la entidad, en observancia a las políticas de operación y seguridad informática establecidas. </w:t>
      </w:r>
    </w:p>
    <w:p w:rsidR="00000000" w:rsidDel="00000000" w:rsidP="00000000" w:rsidRDefault="00000000" w:rsidRPr="00000000">
      <w:pPr>
        <w:ind w:left="284" w:hanging="284"/>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rtl w:val="0"/>
        </w:rPr>
        <w:t xml:space="preserve">Controlar el proceso de renovación de licencias del software en uso por la entidad para cumplir adecuadamente las obligaciones previstas en la ley.</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284" w:hanging="284"/>
        <w:contextualSpacing w:val="1"/>
        <w:jc w:val="both"/>
        <w:rPr>
          <w:b w:val="0"/>
          <w:sz w:val="24"/>
          <w:szCs w:val="24"/>
        </w:rPr>
      </w:pPr>
      <w:r w:rsidDel="00000000" w:rsidR="00000000" w:rsidRPr="00000000">
        <w:rPr>
          <w:rFonts w:ascii="Arial" w:cs="Arial" w:eastAsia="Arial" w:hAnsi="Arial"/>
          <w:b w:val="0"/>
          <w:sz w:val="24"/>
          <w:szCs w:val="24"/>
          <w:rtl w:val="0"/>
        </w:rPr>
        <w:t xml:space="preserve">Actualizar la información de los equipos en relación a hojas de vida y fichas técnicas.</w:t>
      </w:r>
    </w:p>
    <w:p w:rsidR="00000000" w:rsidDel="00000000" w:rsidP="00000000" w:rsidRDefault="00000000" w:rsidRPr="00000000">
      <w:pPr>
        <w:contextualSpacing w:val="0"/>
      </w:pPr>
      <w:r w:rsidDel="00000000" w:rsidR="00000000" w:rsidRPr="00000000">
        <w:rPr>
          <w:rtl w:val="0"/>
        </w:rPr>
      </w:r>
    </w:p>
    <w:tbl>
      <w:tblPr>
        <w:tblStyle w:val="Table12"/>
        <w:bidi w:val="0"/>
        <w:tblW w:w="8787.0" w:type="dxa"/>
        <w:jc w:val="left"/>
        <w:tblInd w:w="-6.999999999999993" w:type="dxa"/>
        <w:tblLayout w:type="fixed"/>
        <w:tblLook w:val="0400"/>
      </w:tblPr>
      <w:tblGrid>
        <w:gridCol w:w="8787"/>
        <w:tblGridChange w:id="0">
          <w:tblGrid>
            <w:gridCol w:w="8787"/>
          </w:tblGrid>
        </w:tblGridChange>
      </w:tblGrid>
      <w:tr>
        <w:trPr>
          <w:trHeight w:val="340" w:hRule="atLeast"/>
        </w:trPr>
        <w:tc>
          <w:tcPr>
            <w:shd w:fill="59595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4"/>
                <w:szCs w:val="24"/>
                <w:rtl w:val="0"/>
              </w:rPr>
              <w:t xml:space="preserve">CONCLUSIONES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En términos generales, los usuarios de los equipos de cómputo dan cabal cumplimiento a la política de operación y seguridad informática en lo relacionado con el uso del software, particularmente en el apartado “</w:t>
      </w:r>
      <w:r w:rsidDel="00000000" w:rsidR="00000000" w:rsidRPr="00000000">
        <w:rPr>
          <w:rFonts w:ascii="Arial" w:cs="Arial" w:eastAsia="Arial" w:hAnsi="Arial"/>
          <w:b w:val="0"/>
          <w:i w:val="1"/>
          <w:color w:val="000000"/>
          <w:sz w:val="24"/>
          <w:szCs w:val="24"/>
          <w:rtl w:val="0"/>
        </w:rPr>
        <w:t xml:space="preserve">Para tener en cuenta</w:t>
      </w:r>
      <w:r w:rsidDel="00000000" w:rsidR="00000000" w:rsidRPr="00000000">
        <w:rPr>
          <w:rFonts w:ascii="Arial" w:cs="Arial" w:eastAsia="Arial" w:hAnsi="Arial"/>
          <w:b w:val="0"/>
          <w:color w:val="000000"/>
          <w:sz w:val="24"/>
          <w:szCs w:val="24"/>
          <w:rtl w:val="0"/>
        </w:rPr>
        <w:t xml:space="preserve">” en el cual determina que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0"/>
          <w:color w:val="000000"/>
          <w:sz w:val="24"/>
          <w:szCs w:val="24"/>
          <w:rtl w:val="0"/>
        </w:rPr>
        <w:t xml:space="preserve">Los usuarios no podrán efectuar cualquiera de las siguientes labores sin previa autorización de quien se delegue para el efecto: copiar software para utilizar en sus computadores en casa, proveer copias de software a contratistas, empleados temporales, amigos, parientes o cualquier otra tercera persona, instalar software en cualquier computador o servidor de la entidad, bajar software de Internet u otro servicio en línea a cualquier computador o servidor, modificar, radicar, transformar o adaptar cualquier software o, descompilar o aplicar ingeniería de reverso en cualquier software institucional</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La Dirección de Informática y Sistemas cuenta con la información que se debe remitir a la Dirección Nacional de Derechos de Autor en el primer trimestre de 2016, en virtud de la Circular 04 de 2006, y que la constituyen los siguientes aspectos: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pPr>
        <w:numPr>
          <w:ilvl w:val="0"/>
          <w:numId w:val="3"/>
        </w:numPr>
        <w:spacing w:after="22" w:before="0" w:line="240" w:lineRule="auto"/>
        <w:ind w:left="284" w:hanging="284"/>
        <w:jc w:val="both"/>
        <w:rPr>
          <w:b w:val="0"/>
          <w:sz w:val="24"/>
          <w:szCs w:val="24"/>
        </w:rPr>
      </w:pPr>
      <w:r w:rsidDel="00000000" w:rsidR="00000000" w:rsidRPr="00000000">
        <w:rPr>
          <w:rFonts w:ascii="Arial" w:cs="Arial" w:eastAsia="Arial" w:hAnsi="Arial"/>
          <w:b w:val="0"/>
          <w:color w:val="000000"/>
          <w:sz w:val="24"/>
          <w:szCs w:val="24"/>
          <w:rtl w:val="0"/>
        </w:rPr>
        <w:t xml:space="preserve">Número de equipos que tiene la entidad.</w:t>
      </w:r>
    </w:p>
    <w:p w:rsidR="00000000" w:rsidDel="00000000" w:rsidP="00000000" w:rsidRDefault="00000000" w:rsidRPr="00000000">
      <w:pPr>
        <w:numPr>
          <w:ilvl w:val="0"/>
          <w:numId w:val="3"/>
        </w:numPr>
        <w:spacing w:after="22" w:before="0" w:line="240" w:lineRule="auto"/>
        <w:ind w:left="284" w:hanging="284"/>
        <w:jc w:val="both"/>
        <w:rPr>
          <w:b w:val="0"/>
          <w:sz w:val="24"/>
          <w:szCs w:val="24"/>
        </w:rPr>
      </w:pPr>
      <w:r w:rsidDel="00000000" w:rsidR="00000000" w:rsidRPr="00000000">
        <w:rPr>
          <w:rFonts w:ascii="Arial" w:cs="Arial" w:eastAsia="Arial" w:hAnsi="Arial"/>
          <w:b w:val="0"/>
          <w:color w:val="000000"/>
          <w:sz w:val="24"/>
          <w:szCs w:val="24"/>
          <w:rtl w:val="0"/>
        </w:rPr>
        <w:t xml:space="preserve">El debido licenciamiento del software instalado en estos equipos.</w:t>
      </w:r>
    </w:p>
    <w:p w:rsidR="00000000" w:rsidDel="00000000" w:rsidP="00000000" w:rsidRDefault="00000000" w:rsidRPr="00000000">
      <w:pPr>
        <w:numPr>
          <w:ilvl w:val="0"/>
          <w:numId w:val="3"/>
        </w:numPr>
        <w:spacing w:after="22" w:before="0" w:line="240" w:lineRule="auto"/>
        <w:ind w:left="284" w:hanging="284"/>
        <w:jc w:val="both"/>
        <w:rPr>
          <w:b w:val="0"/>
          <w:sz w:val="24"/>
          <w:szCs w:val="24"/>
        </w:rPr>
      </w:pPr>
      <w:r w:rsidDel="00000000" w:rsidR="00000000" w:rsidRPr="00000000">
        <w:rPr>
          <w:rFonts w:ascii="Arial" w:cs="Arial" w:eastAsia="Arial" w:hAnsi="Arial"/>
          <w:b w:val="0"/>
          <w:color w:val="000000"/>
          <w:sz w:val="24"/>
          <w:szCs w:val="24"/>
          <w:rtl w:val="0"/>
        </w:rPr>
        <w:t xml:space="preserve">Mecanismos de control se han implementado para evitar que los usuarios instalen programas o aplicativos que no cuenten con la licencia respectiva (OCS Inventory) </w:t>
      </w:r>
    </w:p>
    <w:p w:rsidR="00000000" w:rsidDel="00000000" w:rsidP="00000000" w:rsidRDefault="00000000" w:rsidRPr="00000000">
      <w:pPr>
        <w:numPr>
          <w:ilvl w:val="0"/>
          <w:numId w:val="3"/>
        </w:numPr>
        <w:spacing w:after="0" w:before="0" w:line="240" w:lineRule="auto"/>
        <w:ind w:left="284" w:hanging="284"/>
        <w:jc w:val="both"/>
        <w:rPr>
          <w:b w:val="0"/>
          <w:sz w:val="24"/>
          <w:szCs w:val="24"/>
        </w:rPr>
      </w:pPr>
      <w:r w:rsidDel="00000000" w:rsidR="00000000" w:rsidRPr="00000000">
        <w:rPr>
          <w:rFonts w:ascii="Arial" w:cs="Arial" w:eastAsia="Arial" w:hAnsi="Arial"/>
          <w:b w:val="0"/>
          <w:color w:val="000000"/>
          <w:sz w:val="24"/>
          <w:szCs w:val="24"/>
          <w:rtl w:val="0"/>
        </w:rPr>
        <w:t xml:space="preserve">Destino final que se le da al software dado de baja en la entidad. </w:t>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footerReference r:id="rId6" w:type="default"/>
      <w:pgSz w:h="15842" w:w="12242"/>
      <w:pgMar w:bottom="1418"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Arial Narrow">
    <w:embedRegular r:id="rId1" w:subsetted="0"/>
    <w:embedBold r:id="rId2" w:subsetted="0"/>
    <w:embedItalic r:id="rId3" w:subsetted="0"/>
    <w:embedBoldItalic r:id="rId4"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851" w:before="0" w:line="240" w:lineRule="auto"/>
      <w:contextualSpacing w:val="0"/>
    </w:pPr>
    <w:r w:rsidDel="00000000" w:rsidR="00000000" w:rsidRPr="00000000">
      <w:rPr>
        <w:rFonts w:ascii="Calibri" w:cs="Calibri" w:eastAsia="Calibri" w:hAnsi="Calibri"/>
        <w:b w:val="0"/>
        <w:sz w:val="18"/>
        <w:szCs w:val="18"/>
        <w:rtl w:val="0"/>
      </w:rPr>
      <w:t xml:space="preserve">Auditoria: Almacén y Bodegas  </w:t>
      <w:tab/>
      <w:tab/>
      <w:tab/>
      <w:tab/>
      <w:tab/>
      <w:tab/>
      <w:tab/>
      <w:tab/>
      <w:t xml:space="preserve">Pág.  </w:t>
    </w:r>
    <w:fldSimple w:instr="PAGE" w:fldLock="0" w:dirty="0">
      <w:r w:rsidDel="00000000" w:rsidR="00000000" w:rsidRPr="00000000">
        <w:rPr>
          <w:rFonts w:ascii="Calibri" w:cs="Calibri" w:eastAsia="Calibri" w:hAnsi="Calibri"/>
          <w:b w:val="0"/>
          <w:sz w:val="18"/>
          <w:szCs w:val="18"/>
        </w:rPr>
      </w:r>
    </w:fldSimple>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3"/>
      <w:bidi w:val="0"/>
      <w:tblW w:w="87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102"/>
      <w:tblGridChange w:id="0">
        <w:tblGrid>
          <w:gridCol w:w="3686"/>
          <w:gridCol w:w="5102"/>
        </w:tblGrid>
      </w:tblGridChange>
    </w:tblGrid>
    <w:tr>
      <w:trPr>
        <w:trHeight w:val="1120" w:hRule="atLeast"/>
      </w:trPr>
      <w:tc>
        <w:tcPr>
          <w:vAlign w:val="center"/>
        </w:tcPr>
        <w:p w:rsidR="00000000" w:rsidDel="00000000" w:rsidP="00000000" w:rsidRDefault="00000000" w:rsidRPr="00000000">
          <w:pPr>
            <w:tabs>
              <w:tab w:val="center" w:pos="4252"/>
              <w:tab w:val="right" w:pos="8504"/>
            </w:tabs>
            <w:spacing w:after="0" w:before="851" w:line="240" w:lineRule="auto"/>
            <w:contextualSpacing w:val="0"/>
            <w:jc w:val="center"/>
          </w:pPr>
          <w:r w:rsidDel="00000000" w:rsidR="00000000" w:rsidRPr="00000000">
            <w:drawing>
              <wp:inline distB="0" distT="0" distL="0" distR="0">
                <wp:extent cx="1246353" cy="681459"/>
                <wp:effectExtent b="0" l="0" r="0" t="0"/>
                <wp:docPr descr="LOGO pEQUEÃ_O" id="1" name="image01.jpg"/>
                <a:graphic>
                  <a:graphicData uri="http://schemas.openxmlformats.org/drawingml/2006/picture">
                    <pic:pic>
                      <pic:nvPicPr>
                        <pic:cNvPr descr="LOGO pEQUEÃ_O" id="0" name="image01.jpg"/>
                        <pic:cNvPicPr preferRelativeResize="0"/>
                      </pic:nvPicPr>
                      <pic:blipFill>
                        <a:blip r:embed="rId1"/>
                        <a:srcRect b="0" l="0" r="0" t="0"/>
                        <a:stretch>
                          <a:fillRect/>
                        </a:stretch>
                      </pic:blipFill>
                      <pic:spPr>
                        <a:xfrm>
                          <a:off x="0" y="0"/>
                          <a:ext cx="1246353" cy="681459"/>
                        </a:xfrm>
                        <a:prstGeom prst="rect"/>
                        <a:ln/>
                      </pic:spPr>
                    </pic:pic>
                  </a:graphicData>
                </a:graphic>
              </wp:inline>
            </w:drawing>
          </w:r>
          <w:r w:rsidDel="00000000" w:rsidR="00000000" w:rsidRPr="00000000">
            <w:rPr>
              <w:rtl w:val="0"/>
            </w:rPr>
          </w:r>
        </w:p>
      </w:tc>
      <w:tc>
        <w:tcPr/>
        <w:p w:rsidR="00000000" w:rsidDel="00000000" w:rsidP="00000000" w:rsidRDefault="00000000" w:rsidRPr="00000000">
          <w:pPr>
            <w:tabs>
              <w:tab w:val="center" w:pos="4252"/>
              <w:tab w:val="right" w:pos="8504"/>
            </w:tabs>
            <w:spacing w:after="0" w:before="851" w:line="240" w:lineRule="auto"/>
            <w:contextualSpacing w:val="0"/>
            <w:jc w:val="center"/>
          </w:pPr>
          <w:r w:rsidDel="00000000" w:rsidR="00000000" w:rsidRPr="00000000">
            <w:rPr>
              <w:rFonts w:ascii="Arial" w:cs="Arial" w:eastAsia="Arial" w:hAnsi="Arial"/>
              <w:b w:val="0"/>
              <w:sz w:val="24"/>
              <w:szCs w:val="24"/>
              <w:rtl w:val="0"/>
            </w:rPr>
            <w:t xml:space="preserve">Departamento de Risaralda</w:t>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4"/>
              <w:szCs w:val="24"/>
              <w:rtl w:val="0"/>
            </w:rPr>
            <w:t xml:space="preserve">Dirección de Control Interno</w:t>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4"/>
              <w:szCs w:val="24"/>
              <w:rtl w:val="0"/>
            </w:rPr>
            <w:t xml:space="preserve">PROCESO EVALUACION INDEPENDIENTE </w:t>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left="360" w:firstLine="0"/>
            <w:contextualSpacing w:val="0"/>
            <w:jc w:val="center"/>
          </w:pPr>
          <w:r w:rsidDel="00000000" w:rsidR="00000000" w:rsidRPr="00000000">
            <w:rPr>
              <w:rFonts w:ascii="Arial" w:cs="Arial" w:eastAsia="Arial" w:hAnsi="Arial"/>
              <w:b w:val="0"/>
              <w:sz w:val="24"/>
              <w:szCs w:val="24"/>
              <w:rtl w:val="0"/>
            </w:rPr>
            <w:t xml:space="preserve">Informe de Auditoria Interna</w:t>
          </w:r>
          <w:r w:rsidDel="00000000" w:rsidR="00000000" w:rsidRPr="00000000">
            <w:rPr>
              <w:rtl w:val="0"/>
            </w:rPr>
          </w:r>
        </w:p>
      </w:tc>
    </w:tr>
    <w:tr>
      <w:trPr>
        <w:trHeight w:val="300" w:hRule="atLeast"/>
      </w:trPr>
      <w:tc>
        <w:tcPr>
          <w:vAlign w:val="center"/>
        </w:tcPr>
        <w:p w:rsidR="00000000" w:rsidDel="00000000" w:rsidP="00000000" w:rsidRDefault="00000000" w:rsidRPr="00000000">
          <w:pPr>
            <w:tabs>
              <w:tab w:val="center" w:pos="4252"/>
              <w:tab w:val="right" w:pos="8504"/>
            </w:tabs>
            <w:spacing w:after="0" w:before="851" w:line="240" w:lineRule="auto"/>
            <w:contextualSpacing w:val="0"/>
          </w:pPr>
          <w:r w:rsidDel="00000000" w:rsidR="00000000" w:rsidRPr="00000000">
            <w:rPr>
              <w:rFonts w:ascii="Arial" w:cs="Arial" w:eastAsia="Arial" w:hAnsi="Arial"/>
              <w:b w:val="0"/>
              <w:sz w:val="20"/>
              <w:szCs w:val="20"/>
              <w:rtl w:val="0"/>
            </w:rPr>
            <w:t xml:space="preserve">Versión: 3</w:t>
          </w:r>
        </w:p>
      </w:tc>
      <w:tc>
        <w:tcPr>
          <w:vAlign w:val="center"/>
        </w:tcPr>
        <w:p w:rsidR="00000000" w:rsidDel="00000000" w:rsidP="00000000" w:rsidRDefault="00000000" w:rsidRPr="00000000">
          <w:pPr>
            <w:tabs>
              <w:tab w:val="center" w:pos="4252"/>
              <w:tab w:val="right" w:pos="8504"/>
            </w:tabs>
            <w:spacing w:after="0" w:before="851" w:line="240" w:lineRule="auto"/>
            <w:contextualSpacing w:val="0"/>
          </w:pPr>
          <w:r w:rsidDel="00000000" w:rsidR="00000000" w:rsidRPr="00000000">
            <w:rPr>
              <w:rFonts w:ascii="Arial" w:cs="Arial" w:eastAsia="Arial" w:hAnsi="Arial"/>
              <w:b w:val="0"/>
              <w:sz w:val="20"/>
              <w:szCs w:val="20"/>
              <w:rtl w:val="0"/>
            </w:rPr>
            <w:t xml:space="preserve">Vigencia: 08-2013</w:t>
          </w:r>
        </w:p>
      </w:tc>
    </w:tr>
  </w:tbl>
  <w:p w:rsidR="00000000" w:rsidDel="00000000" w:rsidP="00000000" w:rsidRDefault="00000000" w:rsidRPr="00000000">
    <w:pPr>
      <w:tabs>
        <w:tab w:val="center" w:pos="4252"/>
        <w:tab w:val="right" w:pos="8504"/>
      </w:tabs>
      <w:spacing w:after="0" w:before="851"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color w:val="7030a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Arial" w:cs="Arial" w:eastAsia="Arial" w:hAnsi="Arial"/>
      <w:b w:val="1"/>
      <w:sz w:val="24"/>
      <w:szCs w:val="24"/>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rPr>
  </w:style>
  <w:style w:type="paragraph" w:styleId="Heading3">
    <w:name w:val="heading 3"/>
    <w:basedOn w:val="Normal"/>
    <w:next w:val="Normal"/>
    <w:pPr>
      <w:keepNext w:val="1"/>
      <w:keepLines w:val="1"/>
      <w:spacing w:after="0" w:before="0" w:line="240" w:lineRule="auto"/>
      <w:jc w:val="center"/>
    </w:pPr>
    <w:rPr>
      <w:rFonts w:ascii="Arial" w:cs="Arial" w:eastAsia="Arial" w:hAnsi="Arial"/>
      <w:b w:val="0"/>
      <w:sz w:val="24"/>
      <w:szCs w:val="24"/>
    </w:rPr>
  </w:style>
  <w:style w:type="paragraph" w:styleId="Heading4">
    <w:name w:val="heading 4"/>
    <w:basedOn w:val="Normal"/>
    <w:next w:val="Normal"/>
    <w:pPr>
      <w:keepNext w:val="1"/>
      <w:keepLines w:val="1"/>
      <w:spacing w:after="0" w:before="0" w:line="240" w:lineRule="auto"/>
      <w:jc w:val="both"/>
    </w:pPr>
    <w:rPr>
      <w:rFonts w:ascii="Arial" w:cs="Arial" w:eastAsia="Arial" w:hAnsi="Arial"/>
      <w:b w:val="0"/>
      <w:sz w:val="24"/>
      <w:szCs w:val="24"/>
    </w:rPr>
  </w:style>
  <w:style w:type="paragraph" w:styleId="Heading5">
    <w:name w:val="heading 5"/>
    <w:basedOn w:val="Normal"/>
    <w:next w:val="Normal"/>
    <w:pPr>
      <w:keepNext w:val="1"/>
      <w:keepLines w:val="1"/>
      <w:spacing w:after="0" w:before="0" w:line="240" w:lineRule="auto"/>
    </w:pPr>
    <w:rPr>
      <w:rFonts w:ascii="Arial" w:cs="Arial" w:eastAsia="Arial" w:hAnsi="Arial"/>
      <w:b w:val="1"/>
      <w:sz w:val="28"/>
      <w:szCs w:val="28"/>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